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92" w:rsidRDefault="00301792" w:rsidP="00301792">
      <w:pPr>
        <w:spacing w:after="0" w:line="240" w:lineRule="atLeast"/>
        <w:textAlignment w:val="baseline"/>
        <w:outlineLvl w:val="0"/>
        <w:rPr>
          <w:rFonts w:ascii="Helvetica" w:eastAsia="Times New Roman" w:hAnsi="Helvetica" w:cs="Helvetica"/>
          <w:color w:val="666666"/>
          <w:kern w:val="36"/>
          <w:sz w:val="60"/>
          <w:szCs w:val="60"/>
        </w:rPr>
      </w:pPr>
      <w:r>
        <w:rPr>
          <w:rFonts w:ascii="Helvetica" w:eastAsia="Times New Roman" w:hAnsi="Helvetica" w:cs="Helvetica"/>
          <w:color w:val="666666"/>
          <w:kern w:val="36"/>
          <w:sz w:val="60"/>
          <w:szCs w:val="60"/>
        </w:rPr>
        <w:t>“</w:t>
      </w:r>
      <w:r w:rsidRPr="00301792">
        <w:rPr>
          <w:rFonts w:ascii="Helvetica" w:eastAsia="Times New Roman" w:hAnsi="Helvetica" w:cs="Helvetica"/>
          <w:color w:val="666666"/>
          <w:kern w:val="36"/>
          <w:sz w:val="60"/>
          <w:szCs w:val="60"/>
        </w:rPr>
        <w:t>Regulatory Creep” – Legal Issues in U.S. v. Thakkar</w:t>
      </w:r>
    </w:p>
    <w:p w:rsidR="00301792" w:rsidRPr="00301792" w:rsidRDefault="00301792" w:rsidP="00301792">
      <w:pPr>
        <w:spacing w:after="0" w:line="240" w:lineRule="atLeast"/>
        <w:textAlignment w:val="baseline"/>
        <w:outlineLvl w:val="0"/>
        <w:rPr>
          <w:rFonts w:ascii="Helvetica" w:eastAsia="Times New Roman" w:hAnsi="Helvetica" w:cs="Helvetica"/>
          <w:color w:val="666666"/>
          <w:kern w:val="36"/>
          <w:sz w:val="60"/>
          <w:szCs w:val="60"/>
        </w:rPr>
      </w:pPr>
    </w:p>
    <w:p w:rsidR="00301792" w:rsidRPr="00301792" w:rsidRDefault="00301792" w:rsidP="00301792">
      <w:pPr>
        <w:spacing w:after="0" w:line="0" w:lineRule="auto"/>
        <w:textAlignment w:val="baseline"/>
        <w:rPr>
          <w:rFonts w:ascii="Arial" w:eastAsia="Times New Roman" w:hAnsi="Arial" w:cs="Arial"/>
          <w:color w:val="666666"/>
          <w:sz w:val="21"/>
          <w:szCs w:val="21"/>
        </w:rPr>
      </w:pPr>
      <w:bookmarkStart w:id="0" w:name="_GoBack"/>
      <w:bookmarkEnd w:id="0"/>
    </w:p>
    <w:p w:rsidR="00301792" w:rsidRPr="00301792" w:rsidRDefault="00301792" w:rsidP="00301792">
      <w:pPr>
        <w:spacing w:after="0" w:line="288" w:lineRule="atLeast"/>
        <w:textAlignment w:val="baseline"/>
        <w:rPr>
          <w:rFonts w:ascii="Arial" w:eastAsia="Times New Roman" w:hAnsi="Arial" w:cs="Arial"/>
          <w:color w:val="666666"/>
          <w:sz w:val="18"/>
          <w:szCs w:val="18"/>
        </w:rPr>
      </w:pPr>
      <w:r w:rsidRPr="00301792">
        <w:rPr>
          <w:rFonts w:ascii="Arial" w:eastAsia="Times New Roman" w:hAnsi="Arial" w:cs="Arial"/>
          <w:noProof/>
          <w:color w:val="666666"/>
          <w:sz w:val="18"/>
          <w:szCs w:val="18"/>
        </w:rPr>
        <w:drawing>
          <wp:inline distT="0" distB="0" distL="0" distR="0" wp14:anchorId="6F0F11EE" wp14:editId="32919430">
            <wp:extent cx="1524000" cy="1524000"/>
            <wp:effectExtent l="0" t="0" r="0" b="0"/>
            <wp:docPr id="4" name="Picture 4" descr="Thom Thomp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om Thomps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301792" w:rsidRPr="00301792" w:rsidRDefault="00301792" w:rsidP="00301792">
      <w:pPr>
        <w:spacing w:after="0" w:line="288" w:lineRule="atLeast"/>
        <w:textAlignment w:val="baseline"/>
        <w:outlineLvl w:val="3"/>
        <w:rPr>
          <w:rFonts w:ascii="Helvetica" w:eastAsia="Times New Roman" w:hAnsi="Helvetica" w:cs="Helvetica"/>
          <w:color w:val="666666"/>
          <w:sz w:val="18"/>
          <w:szCs w:val="18"/>
        </w:rPr>
      </w:pPr>
      <w:r w:rsidRPr="00301792">
        <w:rPr>
          <w:rFonts w:ascii="Helvetica" w:eastAsia="Times New Roman" w:hAnsi="Helvetica" w:cs="Helvetica"/>
          <w:color w:val="666666"/>
          <w:sz w:val="18"/>
          <w:szCs w:val="18"/>
        </w:rPr>
        <w:t>Thom Thompson</w:t>
      </w:r>
    </w:p>
    <w:p w:rsidR="00301792" w:rsidRPr="00301792" w:rsidRDefault="00301792" w:rsidP="00301792">
      <w:pPr>
        <w:spacing w:line="288" w:lineRule="atLeast"/>
        <w:textAlignment w:val="baseline"/>
        <w:rPr>
          <w:rFonts w:ascii="Arial" w:eastAsia="Times New Roman" w:hAnsi="Arial" w:cs="Arial"/>
          <w:color w:val="666666"/>
          <w:sz w:val="18"/>
          <w:szCs w:val="18"/>
        </w:rPr>
      </w:pPr>
      <w:r w:rsidRPr="00301792">
        <w:rPr>
          <w:rFonts w:ascii="Arial" w:eastAsia="Times New Roman" w:hAnsi="Arial" w:cs="Arial"/>
          <w:color w:val="666666"/>
          <w:sz w:val="18"/>
          <w:szCs w:val="18"/>
        </w:rPr>
        <w:t>Contributing Editor</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 xml:space="preserve">Thursday afternoon as part of the FIA Law &amp; Compliance Conference, Marc Nagel, attorney advisor to the derivatives training firm Exchange Analytics, moderated a panel composed of attorneys Gary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and Renato Mariotti discussing the recent federal criminal charges against computer programmer </w:t>
      </w:r>
      <w:proofErr w:type="spellStart"/>
      <w:r w:rsidRPr="00301792">
        <w:rPr>
          <w:rFonts w:ascii="Arial" w:eastAsia="Times New Roman" w:hAnsi="Arial" w:cs="Arial"/>
          <w:color w:val="666666"/>
          <w:sz w:val="21"/>
          <w:szCs w:val="21"/>
          <w:bdr w:val="none" w:sz="0" w:space="0" w:color="auto" w:frame="1"/>
        </w:rPr>
        <w:t>Jitesh</w:t>
      </w:r>
      <w:proofErr w:type="spellEnd"/>
      <w:r w:rsidRPr="00301792">
        <w:rPr>
          <w:rFonts w:ascii="Arial" w:eastAsia="Times New Roman" w:hAnsi="Arial" w:cs="Arial"/>
          <w:color w:val="666666"/>
          <w:sz w:val="21"/>
          <w:szCs w:val="21"/>
          <w:bdr w:val="none" w:sz="0" w:space="0" w:color="auto" w:frame="1"/>
        </w:rPr>
        <w:t xml:space="preserve"> Thakkar.</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 xml:space="preserve">The panel was sponsored by Thompson Coburn.  Mariotti, a partner at Thompson Coburn, and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special counsel at Katten Muchin Rosenman, had a history of disagreeing about many aspects of the government’s case – the first federal spoofing case – which Mariotti, as a federal prosecutor in the Northern District of Illinois, successfully brought against Michael </w:t>
      </w:r>
      <w:proofErr w:type="spellStart"/>
      <w:r w:rsidRPr="00301792">
        <w:rPr>
          <w:rFonts w:ascii="Arial" w:eastAsia="Times New Roman" w:hAnsi="Arial" w:cs="Arial"/>
          <w:color w:val="666666"/>
          <w:sz w:val="21"/>
          <w:szCs w:val="21"/>
          <w:bdr w:val="none" w:sz="0" w:space="0" w:color="auto" w:frame="1"/>
        </w:rPr>
        <w:t>Coscia</w:t>
      </w:r>
      <w:proofErr w:type="spellEnd"/>
      <w:r w:rsidRPr="00301792">
        <w:rPr>
          <w:rFonts w:ascii="Arial" w:eastAsia="Times New Roman" w:hAnsi="Arial" w:cs="Arial"/>
          <w:color w:val="666666"/>
          <w:sz w:val="21"/>
          <w:szCs w:val="21"/>
          <w:bdr w:val="none" w:sz="0" w:space="0" w:color="auto" w:frame="1"/>
        </w:rPr>
        <w:t xml:space="preserve"> in 2015.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a </w:t>
      </w:r>
      <w:proofErr w:type="spellStart"/>
      <w:r w:rsidRPr="00301792">
        <w:rPr>
          <w:rFonts w:ascii="Arial" w:eastAsia="Times New Roman" w:hAnsi="Arial" w:cs="Arial"/>
          <w:color w:val="666666"/>
          <w:sz w:val="21"/>
          <w:szCs w:val="21"/>
          <w:bdr w:val="none" w:sz="0" w:space="0" w:color="auto" w:frame="1"/>
        </w:rPr>
        <w:t>well known</w:t>
      </w:r>
      <w:proofErr w:type="spellEnd"/>
      <w:r w:rsidRPr="00301792">
        <w:rPr>
          <w:rFonts w:ascii="Arial" w:eastAsia="Times New Roman" w:hAnsi="Arial" w:cs="Arial"/>
          <w:color w:val="666666"/>
          <w:sz w:val="21"/>
          <w:szCs w:val="21"/>
          <w:bdr w:val="none" w:sz="0" w:space="0" w:color="auto" w:frame="1"/>
        </w:rPr>
        <w:t xml:space="preserve"> industry commentator, had expressed concerns over the years about prosecuting spoofing cases, including the one against </w:t>
      </w:r>
      <w:proofErr w:type="spellStart"/>
      <w:r w:rsidRPr="00301792">
        <w:rPr>
          <w:rFonts w:ascii="Arial" w:eastAsia="Times New Roman" w:hAnsi="Arial" w:cs="Arial"/>
          <w:color w:val="666666"/>
          <w:sz w:val="21"/>
          <w:szCs w:val="21"/>
          <w:bdr w:val="none" w:sz="0" w:space="0" w:color="auto" w:frame="1"/>
        </w:rPr>
        <w:t>Coscia</w:t>
      </w:r>
      <w:proofErr w:type="spellEnd"/>
      <w:r w:rsidRPr="00301792">
        <w:rPr>
          <w:rFonts w:ascii="Arial" w:eastAsia="Times New Roman" w:hAnsi="Arial" w:cs="Arial"/>
          <w:color w:val="666666"/>
          <w:sz w:val="21"/>
          <w:szCs w:val="21"/>
          <w:bdr w:val="none" w:sz="0" w:space="0" w:color="auto" w:frame="1"/>
        </w:rPr>
        <w:t xml:space="preserve">, a commodities trader in the CME and ICE energy markets.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told the audience that he had expressed concerns at the time about the Justice Department bringing a case against </w:t>
      </w:r>
      <w:proofErr w:type="spellStart"/>
      <w:r w:rsidRPr="00301792">
        <w:rPr>
          <w:rFonts w:ascii="Arial" w:eastAsia="Times New Roman" w:hAnsi="Arial" w:cs="Arial"/>
          <w:color w:val="666666"/>
          <w:sz w:val="21"/>
          <w:szCs w:val="21"/>
          <w:bdr w:val="none" w:sz="0" w:space="0" w:color="auto" w:frame="1"/>
        </w:rPr>
        <w:t>Coscia</w:t>
      </w:r>
      <w:proofErr w:type="spellEnd"/>
      <w:r w:rsidRPr="00301792">
        <w:rPr>
          <w:rFonts w:ascii="Arial" w:eastAsia="Times New Roman" w:hAnsi="Arial" w:cs="Arial"/>
          <w:color w:val="666666"/>
          <w:sz w:val="21"/>
          <w:szCs w:val="21"/>
          <w:bdr w:val="none" w:sz="0" w:space="0" w:color="auto" w:frame="1"/>
        </w:rPr>
        <w:t xml:space="preserve"> since </w:t>
      </w:r>
      <w:proofErr w:type="spellStart"/>
      <w:r w:rsidRPr="00301792">
        <w:rPr>
          <w:rFonts w:ascii="Arial" w:eastAsia="Times New Roman" w:hAnsi="Arial" w:cs="Arial"/>
          <w:color w:val="666666"/>
          <w:sz w:val="21"/>
          <w:szCs w:val="21"/>
          <w:bdr w:val="none" w:sz="0" w:space="0" w:color="auto" w:frame="1"/>
        </w:rPr>
        <w:t>Coscia</w:t>
      </w:r>
      <w:proofErr w:type="spellEnd"/>
      <w:r w:rsidRPr="00301792">
        <w:rPr>
          <w:rFonts w:ascii="Arial" w:eastAsia="Times New Roman" w:hAnsi="Arial" w:cs="Arial"/>
          <w:color w:val="666666"/>
          <w:sz w:val="21"/>
          <w:szCs w:val="21"/>
          <w:bdr w:val="none" w:sz="0" w:space="0" w:color="auto" w:frame="1"/>
        </w:rPr>
        <w:t xml:space="preserve"> had just settled the CME and CFTC’s complaints and was accepting substantial punishments.</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 xml:space="preserve">Given </w:t>
      </w:r>
      <w:proofErr w:type="spellStart"/>
      <w:r w:rsidRPr="00301792">
        <w:rPr>
          <w:rFonts w:ascii="Arial" w:eastAsia="Times New Roman" w:hAnsi="Arial" w:cs="Arial"/>
          <w:color w:val="666666"/>
          <w:sz w:val="21"/>
          <w:szCs w:val="21"/>
          <w:bdr w:val="none" w:sz="0" w:space="0" w:color="auto" w:frame="1"/>
        </w:rPr>
        <w:t>Mariotti’s</w:t>
      </w:r>
      <w:proofErr w:type="spellEnd"/>
      <w:r w:rsidRPr="00301792">
        <w:rPr>
          <w:rFonts w:ascii="Arial" w:eastAsia="Times New Roman" w:hAnsi="Arial" w:cs="Arial"/>
          <w:color w:val="666666"/>
          <w:sz w:val="21"/>
          <w:szCs w:val="21"/>
          <w:bdr w:val="none" w:sz="0" w:space="0" w:color="auto" w:frame="1"/>
        </w:rPr>
        <w:t xml:space="preserve"> and </w:t>
      </w:r>
      <w:proofErr w:type="spellStart"/>
      <w:r w:rsidRPr="00301792">
        <w:rPr>
          <w:rFonts w:ascii="Arial" w:eastAsia="Times New Roman" w:hAnsi="Arial" w:cs="Arial"/>
          <w:color w:val="666666"/>
          <w:sz w:val="21"/>
          <w:szCs w:val="21"/>
          <w:bdr w:val="none" w:sz="0" w:space="0" w:color="auto" w:frame="1"/>
        </w:rPr>
        <w:t>DeWaal’s</w:t>
      </w:r>
      <w:proofErr w:type="spellEnd"/>
      <w:r w:rsidRPr="00301792">
        <w:rPr>
          <w:rFonts w:ascii="Arial" w:eastAsia="Times New Roman" w:hAnsi="Arial" w:cs="Arial"/>
          <w:color w:val="666666"/>
          <w:sz w:val="21"/>
          <w:szCs w:val="21"/>
          <w:bdr w:val="none" w:sz="0" w:space="0" w:color="auto" w:frame="1"/>
        </w:rPr>
        <w:t xml:space="preserve"> history, there was obvious potential for disagreement at the session. The two came together, however, in shared worries about the case brought by the Department of Justice against Thakkar.</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When Nagel introduced the panelists he also called the audience’s attention to Holly Campbell, the associate at Thompson Coburn to whom Nagel attributed much of the heavy lifting in the Thakkar proceedings.</w:t>
      </w:r>
    </w:p>
    <w:p w:rsidR="00301792" w:rsidRPr="00301792" w:rsidRDefault="00301792" w:rsidP="00301792">
      <w:pPr>
        <w:spacing w:after="0" w:line="240" w:lineRule="auto"/>
        <w:textAlignment w:val="baseline"/>
        <w:rPr>
          <w:rFonts w:ascii="Arial" w:eastAsia="Times New Roman" w:hAnsi="Arial" w:cs="Arial"/>
          <w:color w:val="666666"/>
          <w:sz w:val="21"/>
          <w:szCs w:val="21"/>
        </w:rPr>
      </w:pP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started off discussions by complaining about regulatory creep, the incremental expansion of jurisdictional reach, at the CFTC. The case against Thakkar was the most recent example. The government had charged Thakkar, a software vendor who was not a trader or otherwise alleged to be a direct participant, with spoofing. Mariotti later said that as the prosecutor in </w:t>
      </w:r>
      <w:proofErr w:type="spellStart"/>
      <w:r w:rsidRPr="00301792">
        <w:rPr>
          <w:rFonts w:ascii="Arial" w:eastAsia="Times New Roman" w:hAnsi="Arial" w:cs="Arial"/>
          <w:color w:val="666666"/>
          <w:sz w:val="21"/>
          <w:szCs w:val="21"/>
          <w:bdr w:val="none" w:sz="0" w:space="0" w:color="auto" w:frame="1"/>
        </w:rPr>
        <w:t>Coscia</w:t>
      </w:r>
      <w:proofErr w:type="spellEnd"/>
      <w:r w:rsidRPr="00301792">
        <w:rPr>
          <w:rFonts w:ascii="Arial" w:eastAsia="Times New Roman" w:hAnsi="Arial" w:cs="Arial"/>
          <w:color w:val="666666"/>
          <w:sz w:val="21"/>
          <w:szCs w:val="21"/>
          <w:bdr w:val="none" w:sz="0" w:space="0" w:color="auto" w:frame="1"/>
        </w:rPr>
        <w:t xml:space="preserve"> he had not charged the programmer who developed </w:t>
      </w:r>
      <w:proofErr w:type="spellStart"/>
      <w:r w:rsidRPr="00301792">
        <w:rPr>
          <w:rFonts w:ascii="Arial" w:eastAsia="Times New Roman" w:hAnsi="Arial" w:cs="Arial"/>
          <w:color w:val="666666"/>
          <w:sz w:val="21"/>
          <w:szCs w:val="21"/>
          <w:bdr w:val="none" w:sz="0" w:space="0" w:color="auto" w:frame="1"/>
        </w:rPr>
        <w:t>Coscia’s</w:t>
      </w:r>
      <w:proofErr w:type="spellEnd"/>
      <w:r w:rsidRPr="00301792">
        <w:rPr>
          <w:rFonts w:ascii="Arial" w:eastAsia="Times New Roman" w:hAnsi="Arial" w:cs="Arial"/>
          <w:color w:val="666666"/>
          <w:sz w:val="21"/>
          <w:szCs w:val="21"/>
          <w:bdr w:val="none" w:sz="0" w:space="0" w:color="auto" w:frame="1"/>
        </w:rPr>
        <w:t xml:space="preserve"> spoofing software.</w:t>
      </w:r>
    </w:p>
    <w:p w:rsidR="00301792" w:rsidRPr="00301792" w:rsidRDefault="00301792" w:rsidP="00301792">
      <w:pPr>
        <w:spacing w:after="0" w:line="240" w:lineRule="auto"/>
        <w:textAlignment w:val="baseline"/>
        <w:rPr>
          <w:rFonts w:ascii="Arial" w:eastAsia="Times New Roman" w:hAnsi="Arial" w:cs="Arial"/>
          <w:color w:val="666666"/>
          <w:sz w:val="21"/>
          <w:szCs w:val="21"/>
        </w:rPr>
      </w:pP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also pointed to the CFTC settlement with Deutsche Bank and one of its affiliates in a 2018 spoofing case where the Commission named as defendant the culprit subsidiary but also Deutsche Bank FCM for carrying the illegal trades.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also noted that the same regulatory creep is occurring on the securities side where the SEC, looking for someone to charge in the </w:t>
      </w:r>
      <w:proofErr w:type="spellStart"/>
      <w:r w:rsidRPr="00301792">
        <w:rPr>
          <w:rFonts w:ascii="Arial" w:eastAsia="Times New Roman" w:hAnsi="Arial" w:cs="Arial"/>
          <w:color w:val="666666"/>
          <w:sz w:val="21"/>
          <w:szCs w:val="21"/>
          <w:bdr w:val="none" w:sz="0" w:space="0" w:color="auto" w:frame="1"/>
        </w:rPr>
        <w:t>EtherDelta</w:t>
      </w:r>
      <w:proofErr w:type="spellEnd"/>
      <w:r w:rsidRPr="00301792">
        <w:rPr>
          <w:rFonts w:ascii="Arial" w:eastAsia="Times New Roman" w:hAnsi="Arial" w:cs="Arial"/>
          <w:color w:val="666666"/>
          <w:sz w:val="21"/>
          <w:szCs w:val="21"/>
          <w:bdr w:val="none" w:sz="0" w:space="0" w:color="auto" w:frame="1"/>
        </w:rPr>
        <w:t xml:space="preserve"> case against a decentralized crypto-token trading platform, charged the founder for setting up the platform.   </w:t>
      </w:r>
    </w:p>
    <w:p w:rsidR="00301792" w:rsidRPr="00301792" w:rsidRDefault="00301792" w:rsidP="00301792">
      <w:pPr>
        <w:spacing w:after="0" w:line="240" w:lineRule="auto"/>
        <w:textAlignment w:val="baseline"/>
        <w:rPr>
          <w:rFonts w:ascii="Arial" w:eastAsia="Times New Roman" w:hAnsi="Arial" w:cs="Arial"/>
          <w:color w:val="666666"/>
          <w:sz w:val="21"/>
          <w:szCs w:val="21"/>
        </w:rPr>
      </w:pP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noted that at about the time the SEC announced the </w:t>
      </w:r>
      <w:proofErr w:type="spellStart"/>
      <w:r w:rsidRPr="00301792">
        <w:rPr>
          <w:rFonts w:ascii="Arial" w:eastAsia="Times New Roman" w:hAnsi="Arial" w:cs="Arial"/>
          <w:color w:val="666666"/>
          <w:sz w:val="21"/>
          <w:szCs w:val="21"/>
          <w:bdr w:val="none" w:sz="0" w:space="0" w:color="auto" w:frame="1"/>
        </w:rPr>
        <w:t>EtherDelta</w:t>
      </w:r>
      <w:proofErr w:type="spellEnd"/>
      <w:r w:rsidRPr="00301792">
        <w:rPr>
          <w:rFonts w:ascii="Arial" w:eastAsia="Times New Roman" w:hAnsi="Arial" w:cs="Arial"/>
          <w:color w:val="666666"/>
          <w:sz w:val="21"/>
          <w:szCs w:val="21"/>
          <w:bdr w:val="none" w:sz="0" w:space="0" w:color="auto" w:frame="1"/>
        </w:rPr>
        <w:t xml:space="preserve"> settlement, in what likely wasn’t a coincidence, CFTC Commissioner Brian </w:t>
      </w:r>
      <w:proofErr w:type="spellStart"/>
      <w:r w:rsidRPr="00301792">
        <w:rPr>
          <w:rFonts w:ascii="Arial" w:eastAsia="Times New Roman" w:hAnsi="Arial" w:cs="Arial"/>
          <w:color w:val="666666"/>
          <w:sz w:val="21"/>
          <w:szCs w:val="21"/>
          <w:bdr w:val="none" w:sz="0" w:space="0" w:color="auto" w:frame="1"/>
        </w:rPr>
        <w:t>Quintenz</w:t>
      </w:r>
      <w:proofErr w:type="spellEnd"/>
      <w:r w:rsidRPr="00301792">
        <w:rPr>
          <w:rFonts w:ascii="Arial" w:eastAsia="Times New Roman" w:hAnsi="Arial" w:cs="Arial"/>
          <w:color w:val="666666"/>
          <w:sz w:val="21"/>
          <w:szCs w:val="21"/>
          <w:bdr w:val="none" w:sz="0" w:space="0" w:color="auto" w:frame="1"/>
        </w:rPr>
        <w:t xml:space="preserve"> had said in a speech published on the </w:t>
      </w:r>
      <w:r w:rsidRPr="00301792">
        <w:rPr>
          <w:rFonts w:ascii="Arial" w:eastAsia="Times New Roman" w:hAnsi="Arial" w:cs="Arial"/>
          <w:color w:val="666666"/>
          <w:sz w:val="21"/>
          <w:szCs w:val="21"/>
          <w:bdr w:val="none" w:sz="0" w:space="0" w:color="auto" w:frame="1"/>
        </w:rPr>
        <w:lastRenderedPageBreak/>
        <w:t>CFTC website that the Commission may assert jurisdiction over persons who code certain kinds of smart contracts – self executing software programs – if those contracts are part of a fraudulent action.</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 xml:space="preserve">Mariotti then described how Thakkar was found not guilty on the basis of the facts, not the law. He reviewed the pre-trial discussions and motions which forced the prosecution to abandon arguments that Thakkar should have known what </w:t>
      </w:r>
      <w:proofErr w:type="spellStart"/>
      <w:r w:rsidRPr="00301792">
        <w:rPr>
          <w:rFonts w:ascii="Arial" w:eastAsia="Times New Roman" w:hAnsi="Arial" w:cs="Arial"/>
          <w:color w:val="666666"/>
          <w:sz w:val="21"/>
          <w:szCs w:val="21"/>
          <w:bdr w:val="none" w:sz="0" w:space="0" w:color="auto" w:frame="1"/>
        </w:rPr>
        <w:t>Sarao</w:t>
      </w:r>
      <w:proofErr w:type="spellEnd"/>
      <w:r w:rsidRPr="00301792">
        <w:rPr>
          <w:rFonts w:ascii="Arial" w:eastAsia="Times New Roman" w:hAnsi="Arial" w:cs="Arial"/>
          <w:color w:val="666666"/>
          <w:sz w:val="21"/>
          <w:szCs w:val="21"/>
          <w:bdr w:val="none" w:sz="0" w:space="0" w:color="auto" w:frame="1"/>
        </w:rPr>
        <w:t xml:space="preserve">, the </w:t>
      </w:r>
      <w:proofErr w:type="spellStart"/>
      <w:r w:rsidRPr="00301792">
        <w:rPr>
          <w:rFonts w:ascii="Arial" w:eastAsia="Times New Roman" w:hAnsi="Arial" w:cs="Arial"/>
          <w:color w:val="666666"/>
          <w:sz w:val="21"/>
          <w:szCs w:val="21"/>
          <w:bdr w:val="none" w:sz="0" w:space="0" w:color="auto" w:frame="1"/>
        </w:rPr>
        <w:t>spoofer</w:t>
      </w:r>
      <w:proofErr w:type="spellEnd"/>
      <w:r w:rsidRPr="00301792">
        <w:rPr>
          <w:rFonts w:ascii="Arial" w:eastAsia="Times New Roman" w:hAnsi="Arial" w:cs="Arial"/>
          <w:color w:val="666666"/>
          <w:sz w:val="21"/>
          <w:szCs w:val="21"/>
          <w:bdr w:val="none" w:sz="0" w:space="0" w:color="auto" w:frame="1"/>
        </w:rPr>
        <w:t xml:space="preserve">, was up to. Also excluded was the so-called ostrich theory of culpability – the idea that Thakkar had willfully avoided finding out what the software he developed was going to be used for. Dismissal of the key conspiracy complaint was caused by </w:t>
      </w:r>
      <w:proofErr w:type="spellStart"/>
      <w:r w:rsidRPr="00301792">
        <w:rPr>
          <w:rFonts w:ascii="Arial" w:eastAsia="Times New Roman" w:hAnsi="Arial" w:cs="Arial"/>
          <w:color w:val="666666"/>
          <w:sz w:val="21"/>
          <w:szCs w:val="21"/>
          <w:bdr w:val="none" w:sz="0" w:space="0" w:color="auto" w:frame="1"/>
        </w:rPr>
        <w:t>Sarao’s</w:t>
      </w:r>
      <w:proofErr w:type="spellEnd"/>
      <w:r w:rsidRPr="00301792">
        <w:rPr>
          <w:rFonts w:ascii="Arial" w:eastAsia="Times New Roman" w:hAnsi="Arial" w:cs="Arial"/>
          <w:color w:val="666666"/>
          <w:sz w:val="21"/>
          <w:szCs w:val="21"/>
          <w:bdr w:val="none" w:sz="0" w:space="0" w:color="auto" w:frame="1"/>
        </w:rPr>
        <w:t xml:space="preserve"> own testimony that he did not think that Thakkar had had knowledge of </w:t>
      </w:r>
      <w:proofErr w:type="spellStart"/>
      <w:r w:rsidRPr="00301792">
        <w:rPr>
          <w:rFonts w:ascii="Arial" w:eastAsia="Times New Roman" w:hAnsi="Arial" w:cs="Arial"/>
          <w:color w:val="666666"/>
          <w:sz w:val="21"/>
          <w:szCs w:val="21"/>
          <w:bdr w:val="none" w:sz="0" w:space="0" w:color="auto" w:frame="1"/>
        </w:rPr>
        <w:t>Sarao’s</w:t>
      </w:r>
      <w:proofErr w:type="spellEnd"/>
      <w:r w:rsidRPr="00301792">
        <w:rPr>
          <w:rFonts w:ascii="Arial" w:eastAsia="Times New Roman" w:hAnsi="Arial" w:cs="Arial"/>
          <w:color w:val="666666"/>
          <w:sz w:val="21"/>
          <w:szCs w:val="21"/>
          <w:bdr w:val="none" w:sz="0" w:space="0" w:color="auto" w:frame="1"/>
        </w:rPr>
        <w:t xml:space="preserve"> spoofing strategies.</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 xml:space="preserve">At any rate, both Mariotti and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are concerned about the CFTC’s determination to keep </w:t>
      </w:r>
      <w:proofErr w:type="gramStart"/>
      <w:r w:rsidRPr="00301792">
        <w:rPr>
          <w:rFonts w:ascii="Arial" w:eastAsia="Times New Roman" w:hAnsi="Arial" w:cs="Arial"/>
          <w:color w:val="666666"/>
          <w:sz w:val="21"/>
          <w:szCs w:val="21"/>
          <w:bdr w:val="none" w:sz="0" w:space="0" w:color="auto" w:frame="1"/>
        </w:rPr>
        <w:t>pursuing</w:t>
      </w:r>
      <w:proofErr w:type="gramEnd"/>
      <w:r w:rsidRPr="00301792">
        <w:rPr>
          <w:rFonts w:ascii="Arial" w:eastAsia="Times New Roman" w:hAnsi="Arial" w:cs="Arial"/>
          <w:color w:val="666666"/>
          <w:sz w:val="21"/>
          <w:szCs w:val="21"/>
          <w:bdr w:val="none" w:sz="0" w:space="0" w:color="auto" w:frame="1"/>
        </w:rPr>
        <w:t xml:space="preserve"> their case against Thakkar despite the dismissal of the Justice Department’s case as well as the judge’s characterization of the government’s evidence as “thin.”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also believes that the CFTC will continue charging third parties in spoofing cases unless and until they get stopped by a court.   </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In response to Nagel’s request for “take-</w:t>
      </w:r>
      <w:proofErr w:type="spellStart"/>
      <w:r w:rsidRPr="00301792">
        <w:rPr>
          <w:rFonts w:ascii="Arial" w:eastAsia="Times New Roman" w:hAnsi="Arial" w:cs="Arial"/>
          <w:color w:val="666666"/>
          <w:sz w:val="21"/>
          <w:szCs w:val="21"/>
          <w:bdr w:val="none" w:sz="0" w:space="0" w:color="auto" w:frame="1"/>
        </w:rPr>
        <w:t>aways</w:t>
      </w:r>
      <w:proofErr w:type="spellEnd"/>
      <w:r w:rsidRPr="00301792">
        <w:rPr>
          <w:rFonts w:ascii="Arial" w:eastAsia="Times New Roman" w:hAnsi="Arial" w:cs="Arial"/>
          <w:color w:val="666666"/>
          <w:sz w:val="21"/>
          <w:szCs w:val="21"/>
          <w:bdr w:val="none" w:sz="0" w:space="0" w:color="auto" w:frame="1"/>
        </w:rPr>
        <w:t xml:space="preserve">” the panelists said there were some positive results from the CFTC’s actions. Firms are much more conscious about program designs. Their contracts with third party service providers are much more thoughtfully drafted. Managements are paying closer attention to </w:t>
      </w:r>
      <w:proofErr w:type="spellStart"/>
      <w:r w:rsidRPr="00301792">
        <w:rPr>
          <w:rFonts w:ascii="Arial" w:eastAsia="Times New Roman" w:hAnsi="Arial" w:cs="Arial"/>
          <w:color w:val="666666"/>
          <w:sz w:val="21"/>
          <w:szCs w:val="21"/>
          <w:bdr w:val="none" w:sz="0" w:space="0" w:color="auto" w:frame="1"/>
        </w:rPr>
        <w:t>algo</w:t>
      </w:r>
      <w:proofErr w:type="spellEnd"/>
      <w:r w:rsidRPr="00301792">
        <w:rPr>
          <w:rFonts w:ascii="Arial" w:eastAsia="Times New Roman" w:hAnsi="Arial" w:cs="Arial"/>
          <w:color w:val="666666"/>
          <w:sz w:val="21"/>
          <w:szCs w:val="21"/>
          <w:bdr w:val="none" w:sz="0" w:space="0" w:color="auto" w:frame="1"/>
        </w:rPr>
        <w:t xml:space="preserve"> design, and internal technology review committees are being taken more seriously. Noting that surveillance is important,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said that trading firms and their brokers had to watch out for patterns.</w:t>
      </w:r>
    </w:p>
    <w:p w:rsidR="00301792" w:rsidRPr="00301792" w:rsidRDefault="00301792" w:rsidP="00301792">
      <w:pPr>
        <w:spacing w:after="0" w:line="240" w:lineRule="auto"/>
        <w:textAlignment w:val="baseline"/>
        <w:rPr>
          <w:rFonts w:ascii="Arial" w:eastAsia="Times New Roman" w:hAnsi="Arial" w:cs="Arial"/>
          <w:color w:val="666666"/>
          <w:sz w:val="21"/>
          <w:szCs w:val="21"/>
        </w:rPr>
      </w:pPr>
      <w:r w:rsidRPr="00301792">
        <w:rPr>
          <w:rFonts w:ascii="Arial" w:eastAsia="Times New Roman" w:hAnsi="Arial" w:cs="Arial"/>
          <w:color w:val="666666"/>
          <w:sz w:val="21"/>
          <w:szCs w:val="21"/>
          <w:bdr w:val="none" w:sz="0" w:space="0" w:color="auto" w:frame="1"/>
        </w:rPr>
        <w:t xml:space="preserve">Nagel asked if the panelist thought that there was anything out there that we don’t know about from the enforcement side.  Both Mariotti and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agreed that there are third party liability issues out there that haven’t been considered yet. As </w:t>
      </w:r>
      <w:proofErr w:type="spellStart"/>
      <w:r w:rsidRPr="00301792">
        <w:rPr>
          <w:rFonts w:ascii="Arial" w:eastAsia="Times New Roman" w:hAnsi="Arial" w:cs="Arial"/>
          <w:color w:val="666666"/>
          <w:sz w:val="21"/>
          <w:szCs w:val="21"/>
          <w:bdr w:val="none" w:sz="0" w:space="0" w:color="auto" w:frame="1"/>
        </w:rPr>
        <w:t>DeWaal</w:t>
      </w:r>
      <w:proofErr w:type="spellEnd"/>
      <w:r w:rsidRPr="00301792">
        <w:rPr>
          <w:rFonts w:ascii="Arial" w:eastAsia="Times New Roman" w:hAnsi="Arial" w:cs="Arial"/>
          <w:color w:val="666666"/>
          <w:sz w:val="21"/>
          <w:szCs w:val="21"/>
          <w:bdr w:val="none" w:sz="0" w:space="0" w:color="auto" w:frame="1"/>
        </w:rPr>
        <w:t xml:space="preserve"> stated, “There are always issues out there.”  </w:t>
      </w:r>
    </w:p>
    <w:p w:rsidR="00834DBA" w:rsidRDefault="00834DBA"/>
    <w:sectPr w:rsidR="0083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92"/>
    <w:rsid w:val="00301792"/>
    <w:rsid w:val="0083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A6E33-7298-490B-8A07-EF2D147B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1779">
      <w:bodyDiv w:val="1"/>
      <w:marLeft w:val="0"/>
      <w:marRight w:val="0"/>
      <w:marTop w:val="0"/>
      <w:marBottom w:val="0"/>
      <w:divBdr>
        <w:top w:val="none" w:sz="0" w:space="0" w:color="auto"/>
        <w:left w:val="none" w:sz="0" w:space="0" w:color="auto"/>
        <w:bottom w:val="none" w:sz="0" w:space="0" w:color="auto"/>
        <w:right w:val="none" w:sz="0" w:space="0" w:color="auto"/>
      </w:divBdr>
      <w:divsChild>
        <w:div w:id="365066388">
          <w:marLeft w:val="0"/>
          <w:marRight w:val="0"/>
          <w:marTop w:val="0"/>
          <w:marBottom w:val="0"/>
          <w:divBdr>
            <w:top w:val="none" w:sz="0" w:space="0" w:color="auto"/>
            <w:left w:val="none" w:sz="0" w:space="0" w:color="auto"/>
            <w:bottom w:val="none" w:sz="0" w:space="0" w:color="auto"/>
            <w:right w:val="none" w:sz="0" w:space="0" w:color="auto"/>
          </w:divBdr>
        </w:div>
        <w:div w:id="1693918733">
          <w:marLeft w:val="0"/>
          <w:marRight w:val="0"/>
          <w:marTop w:val="0"/>
          <w:marBottom w:val="0"/>
          <w:divBdr>
            <w:top w:val="none" w:sz="0" w:space="0" w:color="auto"/>
            <w:left w:val="none" w:sz="0" w:space="0" w:color="auto"/>
            <w:bottom w:val="none" w:sz="0" w:space="0" w:color="auto"/>
            <w:right w:val="none" w:sz="0" w:space="0" w:color="auto"/>
          </w:divBdr>
        </w:div>
        <w:div w:id="1712724950">
          <w:marLeft w:val="0"/>
          <w:marRight w:val="0"/>
          <w:marTop w:val="0"/>
          <w:marBottom w:val="236"/>
          <w:divBdr>
            <w:top w:val="none" w:sz="0" w:space="0" w:color="auto"/>
            <w:left w:val="none" w:sz="0" w:space="0" w:color="auto"/>
            <w:bottom w:val="none" w:sz="0" w:space="0" w:color="auto"/>
            <w:right w:val="none" w:sz="0" w:space="0" w:color="auto"/>
          </w:divBdr>
          <w:divsChild>
            <w:div w:id="1651715871">
              <w:marLeft w:val="0"/>
              <w:marRight w:val="450"/>
              <w:marTop w:val="0"/>
              <w:marBottom w:val="0"/>
              <w:divBdr>
                <w:top w:val="none" w:sz="0" w:space="0" w:color="auto"/>
                <w:left w:val="none" w:sz="0" w:space="0" w:color="auto"/>
                <w:bottom w:val="none" w:sz="0" w:space="0" w:color="auto"/>
                <w:right w:val="none" w:sz="0" w:space="0" w:color="auto"/>
              </w:divBdr>
            </w:div>
            <w:div w:id="1210611700">
              <w:marLeft w:val="0"/>
              <w:marRight w:val="0"/>
              <w:marTop w:val="0"/>
              <w:marBottom w:val="0"/>
              <w:divBdr>
                <w:top w:val="none" w:sz="0" w:space="0" w:color="auto"/>
                <w:left w:val="none" w:sz="0" w:space="0" w:color="auto"/>
                <w:bottom w:val="none" w:sz="0" w:space="0" w:color="auto"/>
                <w:right w:val="none" w:sz="0" w:space="0" w:color="auto"/>
              </w:divBdr>
            </w:div>
          </w:divsChild>
        </w:div>
        <w:div w:id="176950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nagel</dc:creator>
  <cp:keywords/>
  <dc:description/>
  <cp:lastModifiedBy>marc nagel</cp:lastModifiedBy>
  <cp:revision>1</cp:revision>
  <dcterms:created xsi:type="dcterms:W3CDTF">2019-05-11T13:27:00Z</dcterms:created>
  <dcterms:modified xsi:type="dcterms:W3CDTF">2019-05-11T13:29:00Z</dcterms:modified>
</cp:coreProperties>
</file>